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CB" w:rsidRDefault="00A43FCB">
      <w:bookmarkStart w:id="0" w:name="_GoBack"/>
      <w:bookmarkEnd w:id="0"/>
    </w:p>
    <w:p w:rsidR="00A43FCB" w:rsidRDefault="00A43FCB"/>
    <w:p w:rsidR="00A43FCB" w:rsidRDefault="00A43FCB"/>
    <w:p w:rsidR="00A43FCB" w:rsidRPr="00FA2BAE" w:rsidRDefault="00A43FCB" w:rsidP="00FA2BAE">
      <w:pPr>
        <w:pStyle w:val="Heading2"/>
        <w:spacing w:before="0" w:beforeAutospacing="0" w:after="0" w:afterAutospacing="0"/>
        <w:jc w:val="both"/>
        <w:rPr>
          <w:rFonts w:cs="Arial"/>
          <w:b w:val="0"/>
          <w:sz w:val="28"/>
          <w:szCs w:val="28"/>
        </w:rPr>
      </w:pPr>
      <w:r w:rsidRPr="00FA2BAE">
        <w:rPr>
          <w:rFonts w:cs="Arial"/>
          <w:sz w:val="28"/>
          <w:szCs w:val="28"/>
        </w:rPr>
        <w:t>Franco Grignani</w:t>
      </w:r>
    </w:p>
    <w:p w:rsidR="00A43FCB" w:rsidRDefault="00A43FCB" w:rsidP="00FA2BAE">
      <w:pPr>
        <w:pStyle w:val="Heading2"/>
        <w:spacing w:before="0" w:beforeAutospacing="0" w:after="0" w:afterAutospacing="0"/>
        <w:jc w:val="both"/>
        <w:rPr>
          <w:rFonts w:cs="Arial"/>
          <w:b w:val="0"/>
          <w:sz w:val="24"/>
          <w:szCs w:val="24"/>
        </w:rPr>
      </w:pPr>
      <w:r w:rsidRPr="004A2C16">
        <w:rPr>
          <w:rFonts w:cs="Arial"/>
          <w:b w:val="0"/>
          <w:sz w:val="24"/>
          <w:szCs w:val="24"/>
        </w:rPr>
        <w:t>(1908</w:t>
      </w:r>
      <w:r>
        <w:rPr>
          <w:rFonts w:cs="Arial"/>
          <w:b w:val="0"/>
          <w:sz w:val="24"/>
          <w:szCs w:val="24"/>
        </w:rPr>
        <w:t xml:space="preserve"> </w:t>
      </w:r>
      <w:r w:rsidRPr="004A2C16">
        <w:rPr>
          <w:rFonts w:cs="Arial"/>
          <w:b w:val="0"/>
          <w:sz w:val="24"/>
          <w:szCs w:val="24"/>
        </w:rPr>
        <w:t>-</w:t>
      </w:r>
      <w:r>
        <w:rPr>
          <w:rFonts w:cs="Arial"/>
          <w:b w:val="0"/>
          <w:sz w:val="24"/>
          <w:szCs w:val="24"/>
        </w:rPr>
        <w:t xml:space="preserve"> </w:t>
      </w:r>
      <w:r w:rsidRPr="004A2C16">
        <w:rPr>
          <w:rFonts w:cs="Arial"/>
          <w:b w:val="0"/>
          <w:sz w:val="24"/>
          <w:szCs w:val="24"/>
        </w:rPr>
        <w:t>1999, Italia)</w:t>
      </w:r>
    </w:p>
    <w:p w:rsidR="00A43FCB" w:rsidRDefault="00A43FCB" w:rsidP="00FA2BAE">
      <w:pPr>
        <w:pStyle w:val="Heading2"/>
        <w:spacing w:before="0" w:beforeAutospacing="0" w:after="0" w:afterAutospacing="0"/>
        <w:jc w:val="both"/>
        <w:rPr>
          <w:rFonts w:cs="Arial"/>
          <w:b w:val="0"/>
          <w:sz w:val="24"/>
          <w:szCs w:val="24"/>
        </w:rPr>
      </w:pPr>
    </w:p>
    <w:p w:rsidR="00A43FCB" w:rsidRPr="004A2C16" w:rsidRDefault="00A43FCB" w:rsidP="00FA2BAE">
      <w:pPr>
        <w:pStyle w:val="Heading2"/>
        <w:spacing w:before="0" w:beforeAutospacing="0" w:after="0" w:afterAutospacing="0"/>
        <w:jc w:val="both"/>
        <w:rPr>
          <w:rFonts w:cs="Arial"/>
          <w:b w:val="0"/>
          <w:sz w:val="24"/>
          <w:szCs w:val="24"/>
        </w:rPr>
      </w:pPr>
      <w:r w:rsidRPr="004A2C16">
        <w:rPr>
          <w:rFonts w:cs="Arial"/>
          <w:b w:val="0"/>
          <w:sz w:val="24"/>
          <w:szCs w:val="24"/>
        </w:rPr>
        <w:t>È stato uno dei più atten</w:t>
      </w:r>
      <w:r>
        <w:rPr>
          <w:rFonts w:cs="Arial"/>
          <w:b w:val="0"/>
          <w:sz w:val="24"/>
          <w:szCs w:val="24"/>
        </w:rPr>
        <w:t>ti alla fotografia sperimentale</w:t>
      </w:r>
      <w:r w:rsidRPr="004A2C16">
        <w:rPr>
          <w:rFonts w:cs="Arial"/>
          <w:b w:val="0"/>
          <w:sz w:val="24"/>
          <w:szCs w:val="24"/>
        </w:rPr>
        <w:t xml:space="preserve"> e uno dei ricercatori più acuti sulla percezione visiva. Dopo la laurea in architettura, si indirizza alla professione di graphic designer.</w:t>
      </w:r>
      <w:r>
        <w:rPr>
          <w:rFonts w:cs="Arial"/>
          <w:b w:val="0"/>
          <w:sz w:val="24"/>
          <w:szCs w:val="24"/>
        </w:rPr>
        <w:t xml:space="preserve"> É </w:t>
      </w:r>
      <w:r w:rsidRPr="004A2C16">
        <w:rPr>
          <w:rFonts w:cs="Arial"/>
          <w:b w:val="0"/>
          <w:sz w:val="24"/>
          <w:szCs w:val="24"/>
        </w:rPr>
        <w:t>invitato ai lavori del primo Vision 65 all’Università di Carbondale (Stati Uniti). Membro della giuria internazionale di Typomundus XX/2 e della Biennale de l’Affiche di Varsavia (1970). Partecipa nel 1972 alla XXXVI Biennale di Venezia, dove progetta la sezione di grafica sperimentale. Membro dell’ICTA di New York e dell’AGI (Allinace Graphique Internationale).</w:t>
      </w:r>
      <w:r>
        <w:rPr>
          <w:rFonts w:cs="Arial"/>
          <w:b w:val="0"/>
          <w:sz w:val="24"/>
          <w:szCs w:val="24"/>
        </w:rPr>
        <w:t xml:space="preserve"> Alcuni s</w:t>
      </w:r>
      <w:r w:rsidRPr="004A2C16">
        <w:rPr>
          <w:rFonts w:cs="Arial"/>
          <w:b w:val="0"/>
          <w:sz w:val="24"/>
          <w:szCs w:val="24"/>
        </w:rPr>
        <w:t>uoi lavori fanno parte delle collezioni permanenti del Museum of Modern Art di New York, dello Stedelijek Museum di Amsterdam, del Museo d’Arte Moderna di Varsavia, del Victoria and Albert Museum di Londra, oltre che di collezioni private. Ha esposto in numerose mostre personali e collettive in Italia e all’estero.</w:t>
      </w:r>
    </w:p>
    <w:p w:rsidR="00A43FCB" w:rsidRDefault="00A43FCB"/>
    <w:sectPr w:rsidR="00A43FCB"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BAE"/>
    <w:rsid w:val="001B2F7D"/>
    <w:rsid w:val="00225A41"/>
    <w:rsid w:val="004A2C16"/>
    <w:rsid w:val="00875381"/>
    <w:rsid w:val="00A43FCB"/>
    <w:rsid w:val="00D353F7"/>
    <w:rsid w:val="00EE315D"/>
    <w:rsid w:val="00FA2B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7D"/>
    <w:pPr>
      <w:spacing w:after="200"/>
    </w:pPr>
    <w:rPr>
      <w:sz w:val="24"/>
      <w:szCs w:val="24"/>
      <w:lang w:eastAsia="ja-JP"/>
    </w:rPr>
  </w:style>
  <w:style w:type="paragraph" w:styleId="Heading2">
    <w:name w:val="heading 2"/>
    <w:basedOn w:val="Normal"/>
    <w:link w:val="Heading2Char"/>
    <w:uiPriority w:val="99"/>
    <w:qFormat/>
    <w:rsid w:val="00FA2BAE"/>
    <w:pPr>
      <w:spacing w:before="100" w:beforeAutospacing="1" w:after="100" w:afterAutospacing="1"/>
      <w:outlineLvl w:val="1"/>
    </w:pPr>
    <w:rPr>
      <w:rFonts w:ascii="Arial" w:hAnsi="Arial"/>
      <w:b/>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2BAE"/>
    <w:rPr>
      <w:rFonts w:ascii="Arial" w:hAnsi="Arial" w:cs="Times New Roman"/>
      <w:b/>
      <w:sz w:val="36"/>
      <w:szCs w:val="36"/>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2011-10-11T09:03:00Z</dcterms:created>
  <dcterms:modified xsi:type="dcterms:W3CDTF">2011-10-12T13:55:00Z</dcterms:modified>
</cp:coreProperties>
</file>